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Томская область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34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34"/>
          <w:position w:val="0"/>
          <w:sz w:val="36"/>
          <w:shd w:fill="auto" w:val="clear"/>
        </w:rPr>
        <w:t xml:space="preserve">Верхнекетский район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Совет Катайгинского сельского поселения</w:t>
      </w:r>
    </w:p>
    <w:tbl>
      <w:tblPr/>
      <w:tblGrid>
        <w:gridCol w:w="4680"/>
        <w:gridCol w:w="4680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2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2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20" w:line="240"/>
              <w:ind w:right="57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20" w:line="240"/>
              <w:ind w:right="57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  2015 года</w:t>
            </w:r>
          </w:p>
        </w:tc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20" w:line="240"/>
              <w:ind w:right="57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  </w:t>
      </w:r>
    </w:p>
    <w:tbl>
      <w:tblPr/>
      <w:tblGrid>
        <w:gridCol w:w="4678"/>
        <w:gridCol w:w="4678"/>
      </w:tblGrid>
      <w:tr>
        <w:trPr>
          <w:trHeight w:val="1" w:hRule="atLeast"/>
          <w:jc w:val="left"/>
        </w:trPr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отмене решения Совета Катайгинского сельского поселения</w:t>
            </w:r>
          </w:p>
        </w:tc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приведения отдельных положений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Устава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Катайгинское сельское поселение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соответствие с действующим законодательством, руководствуясь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Уставом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Катайгинское сельское поселение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36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Совет Катайгинского сельского поселения</w:t>
      </w:r>
    </w:p>
    <w:p>
      <w:pPr>
        <w:spacing w:before="0" w:after="0" w:line="36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36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Отменить решение Совета Катайгинского сельского поселения от 26 декабря 2014 года № 37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внесении изменений и дополнений в устав муниципального образования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Катайгинское сельское поселение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опубликовать  в информационном вестнике Верхнекетского района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Территория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Заместитель председателя Совета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Катайгинского сельского поселения                                        Т. Н. Савицкая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719A841EDFF2BC48E2326D24ADF5D51F68FBD3E7023E326E2FF2092BA1C1FB5Cg8P0C" Id="docRId0" Type="http://schemas.openxmlformats.org/officeDocument/2006/relationships/hyperlink"/><Relationship TargetMode="External" Target="consultantplus://offline/ref=719A841EDFF2BC48E2326D24ADF5D51F68FBD3E7023E326E2FF2092BA1C1FB5Cg8P0C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